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<Relationship Id="rId1" Type="http://schemas.openxmlformats.org/officeDocument/2006/relationships/officeDocument" Target="word/document.xml"/>
 <Relationship Id="rId2" Type="http://schemas.openxmlformats.org/package/2006/relationships/metadata/core-properties" Target="docProps/core.xml"/>
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>房仲水電瓦斯過戶線上清單教學</w:t>
      </w:r>
    </w:p>
    <w:p>
      <w:pPr>
        <w:pStyle w:val="Subtitle"/>
      </w:pPr>
      <w:r>
        <w:t>整理日期：2026-07-02｜用途：成交、交屋、出租交接時快速完成水電瓦斯名義確認、結清與線上申辦。</w:t>
      </w:r>
    </w:p>
    <w:p>
      <w:pPr>
        <w:pStyle w:val="Heading1"/>
      </w:pPr>
      <w:r>
        <w:t>一、先收資料</w:t>
      </w:r>
    </w:p>
    <w:p>
      <w:pPr>
        <w:numPr>
          <w:ilvl w:val="0"/>
          <w:numId w:val="1"/>
        </w:numPr>
      </w:pPr>
      <w:r>
        <w:t>最近一期水費、電費、瓦斯費帳單。</w:t>
      </w:r>
    </w:p>
    <w:p>
      <w:pPr>
        <w:numPr>
          <w:ilvl w:val="0"/>
          <w:numId w:val="1"/>
        </w:numPr>
      </w:pPr>
      <w:r>
        <w:t>交屋日水表、電表、瓦斯表讀數照片。</w:t>
      </w:r>
    </w:p>
    <w:p>
      <w:pPr>
        <w:numPr>
          <w:ilvl w:val="0"/>
          <w:numId w:val="1"/>
        </w:numPr>
      </w:pPr>
      <w:r>
        <w:t>新戶名、身分證字號或統編、電話、Email、通訊地址。</w:t>
      </w:r>
    </w:p>
    <w:p>
      <w:pPr>
        <w:numPr>
          <w:ilvl w:val="0"/>
          <w:numId w:val="1"/>
        </w:numPr>
      </w:pPr>
      <w:r>
        <w:t>確認供水單位：桃園以台水第二區管理處與帳單水號為準；天然氣先查欣桃天然氣與帳單戶號。</w:t>
      </w:r>
    </w:p>
    <w:p>
      <w:pPr>
        <w:numPr>
          <w:ilvl w:val="0"/>
          <w:numId w:val="1"/>
        </w:numPr>
      </w:pPr>
      <w:r>
        <w:t>若要臨櫃處理楊梅或平鎮案件，先開本機首頁的「楊梅平鎮導航」，再用電話確認當日文件要求。</w:t>
      </w:r>
    </w:p>
    <w:p>
      <w:pPr>
        <w:pStyle w:val="Heading1"/>
      </w:pPr>
      <w:r>
        <w:t>二、線上過戶流程</w:t>
      </w:r>
    </w:p>
    <w:tbl>
      <w:tblPr>
        <w:tblW w:w="9360" w:type="dxa"/>
        <w:tblInd w:w="120" w:type="dxa"/>
        <w:tblBorders>
          <w:top w:val="single" w:sz="4" w:color="AAB7C4"/>
          <w:left w:val="single" w:sz="4" w:color="AAB7C4"/>
          <w:bottom w:val="single" w:sz="4" w:color="AAB7C4"/>
          <w:right w:val="single" w:sz="4" w:color="AAB7C4"/>
          <w:insideH w:val="single" w:sz="4" w:color="AAB7C4"/>
          <w:insideV w:val="single" w:sz="4" w:color="AAB7C4"/>
        </w:tblBorders>
      </w:tblPr>
      <w:tblGrid>
        <w:gridCol w:w="1100"/>
        <w:gridCol w:w="2500"/>
        <w:gridCol w:w="5760"/>
      </w:tblGrid>
      <w:tr>
        <w:tc>
          <w:tcPr>
            <w:tcW w:w="11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項目</w:t>
            </w:r>
          </w:p>
        </w:tc>
        <w:tc>
          <w:tcPr>
            <w:tcW w:w="25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入口</w:t>
            </w:r>
          </w:p>
        </w:tc>
        <w:tc>
          <w:tcPr>
            <w:tcW w:w="576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操作重點</w:t>
            </w:r>
          </w:p>
        </w:tc>
      </w:tr>
      <w:tr>
        <w:tc>
          <w:tcPr>
            <w:tcW w:w="1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電</w:t>
            </w:r>
          </w:p>
        </w:tc>
        <w:tc>
          <w:tcPr>
            <w:tcW w:w="2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台電網路櫃檯或台電官網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找變更用電戶名、過戶或其它異動；準備電號、地址、新舊戶資料。</w:t>
            </w:r>
          </w:p>
        </w:tc>
      </w:tr>
      <w:tr>
        <w:tc>
          <w:tcPr>
            <w:tcW w:w="1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水</w:t>
            </w:r>
          </w:p>
        </w:tc>
        <w:tc>
          <w:tcPr>
            <w:tcW w:w="2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台水第二區管理處 / 台水線上申辦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先確認桃園帳單水號；可查台水線上申辦或桃園跨機關代送。</w:t>
            </w:r>
          </w:p>
        </w:tc>
      </w:tr>
      <w:tr>
        <w:tc>
          <w:tcPr>
            <w:tcW w:w="1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瓦斯</w:t>
            </w:r>
          </w:p>
        </w:tc>
        <w:tc>
          <w:tcPr>
            <w:tcW w:w="25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欣桃天然氣 / 帳單上的天然氣公司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查資料異動、氣費查詢、自報度數或線上申請；必要時安排安全檢查。</w:t>
            </w:r>
          </w:p>
        </w:tc>
      </w:tr>
    </w:tbl>
    <w:p>
      <w:pPr>
        <w:pStyle w:val="Heading1"/>
      </w:pPr>
      <w:r>
        <w:t>三、交屋當天檢核</w:t>
      </w:r>
    </w:p>
    <w:p>
      <w:pPr>
        <w:numPr>
          <w:ilvl w:val="0"/>
          <w:numId w:val="1"/>
        </w:numPr>
      </w:pPr>
      <w:r>
        <w:t>拍三表讀數，照片檔名含地址與日期。</w:t>
      </w:r>
    </w:p>
    <w:p>
      <w:pPr>
        <w:numPr>
          <w:ilvl w:val="0"/>
          <w:numId w:val="1"/>
        </w:numPr>
      </w:pPr>
      <w:r>
        <w:t>確認舊戶費用結清方式與截止日。</w:t>
      </w:r>
    </w:p>
    <w:p>
      <w:pPr>
        <w:numPr>
          <w:ilvl w:val="0"/>
          <w:numId w:val="1"/>
        </w:numPr>
      </w:pPr>
      <w:r>
        <w:t>申請送出後保存案件編號、截圖或收件證明。</w:t>
      </w:r>
    </w:p>
    <w:p>
      <w:pPr>
        <w:numPr>
          <w:ilvl w:val="0"/>
          <w:numId w:val="1"/>
        </w:numPr>
      </w:pPr>
      <w:r>
        <w:t>若有瓦斯停用、復用、裝表、拆表、點火或漏氣疑慮，直接聯絡瓦斯公司，不只做線上名義異動。</w:t>
      </w:r>
    </w:p>
    <w:p>
      <w:pPr>
        <w:pStyle w:val="Heading1"/>
      </w:pPr>
      <w:r>
        <w:t>四、常用網站</w:t>
      </w:r>
    </w:p>
    <w:tbl>
      <w:tblPr>
        <w:tblW w:w="9360" w:type="dxa"/>
        <w:tblInd w:w="120" w:type="dxa"/>
        <w:tblBorders>
          <w:top w:val="single" w:sz="4" w:color="AAB7C4"/>
          <w:left w:val="single" w:sz="4" w:color="AAB7C4"/>
          <w:bottom w:val="single" w:sz="4" w:color="AAB7C4"/>
          <w:right w:val="single" w:sz="4" w:color="AAB7C4"/>
          <w:insideH w:val="single" w:sz="4" w:color="AAB7C4"/>
          <w:insideV w:val="single" w:sz="4" w:color="AAB7C4"/>
        </w:tblBorders>
      </w:tblPr>
      <w:tblGrid>
        <w:gridCol w:w="1800"/>
        <w:gridCol w:w="3600"/>
        <w:gridCol w:w="3960"/>
      </w:tblGrid>
      <w:tr>
        <w:tc>
          <w:tcPr>
            <w:tcW w:w="18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分類</w:t>
            </w:r>
          </w:p>
        </w:tc>
        <w:tc>
          <w:tcPr>
            <w:tcW w:w="36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網站</w:t>
            </w:r>
          </w:p>
        </w:tc>
        <w:tc>
          <w:tcPr>
            <w:tcW w:w="396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用途</w:t>
            </w:r>
          </w:p>
        </w:tc>
      </w:tr>
      <w:t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外勤導航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楊梅平鎮導航</w:t>
            </w:r>
          </w:p>
        </w:tc>
        <w:tc>
          <w:tcPr>
            <w:tcW w:w="39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從公司地址出發到台電、台水與欣桃服務據點。</w:t>
            </w:r>
          </w:p>
        </w:tc>
      </w:tr>
      <w:t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房地合一稅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財政部北區國稅局房地合一專區</w:t>
            </w:r>
          </w:p>
        </w:tc>
        <w:tc>
          <w:tcPr>
            <w:tcW w:w="39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桃園所屬北區國稅局申報書表與稅務資訊。</w:t>
            </w:r>
          </w:p>
        </w:tc>
      </w:tr>
      <w:t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實價登錄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內政部不動產交易實價查詢服務網</w:t>
            </w:r>
          </w:p>
        </w:tc>
        <w:tc>
          <w:tcPr>
            <w:tcW w:w="39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成交行情查詢與估價前置作業。</w:t>
            </w:r>
          </w:p>
        </w:tc>
      </w:tr>
      <w:t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地籍便民系統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地籍圖資網路便民服務系統</w:t>
            </w:r>
          </w:p>
        </w:tc>
        <w:tc>
          <w:tcPr>
            <w:tcW w:w="39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地籍圖資、地段地號與位置輔助查詢。</w:t>
            </w:r>
          </w:p>
        </w:tc>
      </w:tr>
    </w:tbl>
    <w:p>
      <w:pPr>
        <w:pStyle w:val="Heading1"/>
      </w:pPr>
      <w:r>
        <w:t>五、客戶資料收集表</w:t>
      </w:r>
    </w:p>
    <w:tbl>
      <w:tblPr>
        <w:tblW w:w="9360" w:type="dxa"/>
        <w:tblInd w:w="120" w:type="dxa"/>
        <w:tblBorders>
          <w:top w:val="single" w:sz="4" w:color="AAB7C4"/>
          <w:left w:val="single" w:sz="4" w:color="AAB7C4"/>
          <w:bottom w:val="single" w:sz="4" w:color="AAB7C4"/>
          <w:right w:val="single" w:sz="4" w:color="AAB7C4"/>
          <w:insideH w:val="single" w:sz="4" w:color="AAB7C4"/>
          <w:insideV w:val="single" w:sz="4" w:color="AAB7C4"/>
        </w:tblBorders>
      </w:tblPr>
      <w:tblGrid>
        <w:gridCol w:w="2200"/>
        <w:gridCol w:w="2800"/>
        <w:gridCol w:w="4360"/>
      </w:tblGrid>
      <w:tr>
        <w:tc>
          <w:tcPr>
            <w:tcW w:w="22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欄位</w:t>
            </w:r>
          </w:p>
        </w:tc>
        <w:tc>
          <w:tcPr>
            <w:tcW w:w="280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填寫</w:t>
            </w:r>
          </w:p>
        </w:tc>
        <w:tc>
          <w:tcPr>
            <w:tcW w:w="4360" w:type="dxa"/>
            <w:shd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b/>
              </w:rPr>
              <w:t>備註</w:t>
            </w:r>
          </w:p>
        </w:tc>
      </w:tr>
      <w:t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新戶名</w:t>
            </w:r>
          </w:p>
        </w:tc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/>
            </w:r>
          </w:p>
        </w:tc>
        <w:tc>
          <w:tcPr>
            <w:tcW w:w="43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身分證字號或統編</w:t>
            </w:r>
          </w:p>
        </w:tc>
      </w:tr>
      <w:t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手機</w:t>
            </w:r>
          </w:p>
        </w:tc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/>
            </w:r>
          </w:p>
        </w:tc>
        <w:tc>
          <w:tcPr>
            <w:tcW w:w="43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Email</w:t>
            </w:r>
          </w:p>
        </w:tc>
      </w:tr>
      <w:t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電號</w:t>
            </w:r>
          </w:p>
        </w:tc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/>
            </w:r>
          </w:p>
        </w:tc>
        <w:tc>
          <w:tcPr>
            <w:tcW w:w="43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水號</w:t>
            </w:r>
          </w:p>
        </w:tc>
      </w:tr>
      <w:t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瓦斯戶號</w:t>
            </w:r>
          </w:p>
        </w:tc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/>
            </w:r>
          </w:p>
        </w:tc>
        <w:tc>
          <w:tcPr>
            <w:tcW w:w="43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瓦斯公司</w:t>
            </w:r>
          </w:p>
        </w:tc>
      </w:tr>
      <w:t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交屋日水表</w:t>
            </w:r>
          </w:p>
        </w:tc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/>
            </w:r>
          </w:p>
        </w:tc>
        <w:tc>
          <w:tcPr>
            <w:tcW w:w="43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>交屋日電表 / 瓦斯表</w:t>
            </w:r>
          </w:p>
        </w:tc>
      </w:tr>
    </w:tbl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</w:num>
  <w:abstractNum w:abstractNumId="2">
    <w:lvl w:ilvl="0">
      <w:start w:val="1"/>
      <w:numFmt w:val="decimal"/>
      <w:lvlText w:val="%1."/>
      <w:lvlJc w:val="left"/>
      <w:pPr>
        <w:ind w:left="540" w:hanging="270"/>
      </w:pPr>
    </w:lvl>
  </w:abstractNum>
  <w:num w:numId="2">
    <w:abstractNumId w:val="2"/>
  </w:num>
</w:numbering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20" w:line="300" w:lineRule="auto"/>
    </w:pPr>
    <w:rPr>
      <w:rFonts w:ascii="Calibri" w:hAnsi="Calibri" w:eastAsia="Microsoft JhengHei"/>
      <w:sz w:val="22"/>
    </w:rPr>
  </w:style>
  <w:style w:type="paragraph" w:styleId="Title">
    <w:name w:val="Title"/>
    <w:basedOn w:val="Normal"/>
    <w:pPr>
      <w:spacing w:after="120"/>
    </w:pPr>
    <w:rPr>
      <w:rFonts w:ascii="Calibri" w:hAnsi="Calibri" w:eastAsia="Microsoft JhengHei"/>
      <w:b/>
      <w:color w:val="0B2545"/>
      <w:sz w:val="44"/>
    </w:rPr>
  </w:style>
  <w:style w:type="paragraph" w:styleId="Subtitle">
    <w:name w:val="Subtitle"/>
    <w:basedOn w:val="Normal"/>
    <w:pPr>
      <w:spacing w:after="240"/>
    </w:pPr>
    <w:rPr>
      <w:rFonts w:ascii="Calibri" w:hAnsi="Calibri" w:eastAsia="Microsoft JhengHei"/>
      <w:color w:val="5D6978"/>
      <w:sz w:val="22"/>
    </w:rPr>
  </w:style>
  <w:style w:type="paragraph" w:styleId="Heading1">
    <w:name w:val="heading 1"/>
    <w:basedOn w:val="Normal"/>
    <w:pPr>
      <w:keepNext/>
      <w:spacing w:before="360" w:after="200"/>
    </w:pPr>
    <w:rPr>
      <w:rFonts w:ascii="Calibri" w:hAnsi="Calibri" w:eastAsia="Microsoft JhengHei"/>
      <w:b/>
      <w:color w:val="2E74B5"/>
      <w:sz w:val="32"/>
    </w:rPr>
  </w:style>
</w:styles>
</file>

<file path=word/_rels/document.xml.rels><?xml version="1.0" encoding="UTF-8" standalone="yes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房仲水電瓦斯過戶線上清單教學</dc:title>
  <dc:creator>Codex</dc:creator>
  <cp:lastModifiedBy>Codex</cp:lastModifiedBy>
  <dcterms:created xsi:type="dcterms:W3CDTF">2026-07-02T00:00:00Z</dcterms:created>
  <dcterms:modified xsi:type="dcterms:W3CDTF">2026-07-02T00:00:00Z</dcterms:modified>
</cp:coreProperties>
</file>